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36CCC">
      <w:pPr>
        <w:spacing w:before="120" w:after="0" w:line="240" w:lineRule="auto"/>
        <w:jc w:val="center"/>
        <w:rPr>
          <w:rFonts w:ascii="Times New Roman" w:hAnsi="Times New Roman" w:eastAsia="Times New Roman" w:cs="Times New Roman"/>
          <w:b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</w:rPr>
        <w:t>ПАМЯТКА</w:t>
      </w:r>
    </w:p>
    <w:p w14:paraId="44F114E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застрахованному лицу, пострадавшему вследствие несчастного случая на производстве </w:t>
      </w:r>
      <w:r>
        <w:rPr>
          <w:rFonts w:ascii="Times New Roman" w:hAnsi="Times New Roman" w:eastAsia="Times New Roman" w:cs="Times New Roman"/>
          <w:b/>
        </w:rPr>
        <w:br w:type="textWrapping"/>
      </w:r>
      <w:r>
        <w:rPr>
          <w:rFonts w:ascii="Times New Roman" w:hAnsi="Times New Roman" w:eastAsia="Times New Roman" w:cs="Times New Roman"/>
          <w:b/>
        </w:rPr>
        <w:t>или профессионального заболевания</w:t>
      </w:r>
    </w:p>
    <w:p w14:paraId="403C2ACE">
      <w:pPr>
        <w:spacing w:before="120"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val="en-US"/>
        </w:rPr>
        <w:t>I</w:t>
      </w:r>
      <w:r>
        <w:rPr>
          <w:rFonts w:ascii="Times New Roman" w:hAnsi="Times New Roman" w:eastAsia="Times New Roman" w:cs="Times New Roman"/>
          <w:b/>
        </w:rPr>
        <w:t>. ВИДЫ ОБЕСПЕЧЕНИЯ ПО СТРАХОВАНИЮ</w:t>
      </w:r>
    </w:p>
    <w:p w14:paraId="037A44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Застрахованное лицо, пострадавшее вследствие наступления страхового случая (несчастного случая 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</w:rPr>
        <w:t xml:space="preserve">на производстве или профессионального заболевания), имеет право на следующие виды обеспечения 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</w:rPr>
        <w:t>по обязательному социальному страхованию от несчастных случаев на производстве и профессиональных заболеваний, которые осуществляются территориальными органами Социального фонда России (СФР):</w:t>
      </w:r>
    </w:p>
    <w:p w14:paraId="216A6B0D">
      <w:pPr>
        <w:pStyle w:val="2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Пособие по временной нетрудоспособности, </w:t>
      </w:r>
      <w:r>
        <w:rPr>
          <w:rFonts w:ascii="Times New Roman" w:hAnsi="Times New Roman" w:eastAsia="Times New Roman" w:cs="Times New Roman"/>
        </w:rPr>
        <w:t>которое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>выплачивается за весь период временной нетрудоспособности застрахованного лица до его выздоровления или установления стойкой утраты профессиональной трудоспособности в размере 100 процентов его среднего заработка. Расчет среднего заработка осуществляется из заработка застрахованного лица за два календарных года, предшествующих году, в котором наступил страховой случай. Обращение с заявлением в территориальный орган СФР не требуется;</w:t>
      </w:r>
    </w:p>
    <w:p w14:paraId="7B331F4D">
      <w:pPr>
        <w:pStyle w:val="21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</w:rPr>
        <w:t>Страховые выплаты</w:t>
      </w:r>
      <w:r>
        <w:rPr>
          <w:rFonts w:ascii="Times New Roman" w:hAnsi="Times New Roman" w:eastAsia="Times New Roman" w:cs="Times New Roman"/>
        </w:rPr>
        <w:t xml:space="preserve">, которые состоят из </w:t>
      </w:r>
      <w:r>
        <w:rPr>
          <w:rFonts w:ascii="Times New Roman" w:hAnsi="Times New Roman" w:eastAsia="Times New Roman" w:cs="Times New Roman"/>
          <w:b/>
          <w:i/>
          <w:color w:val="000000"/>
        </w:rPr>
        <w:t>единовременной страховой выплаты</w:t>
      </w:r>
      <w:r>
        <w:rPr>
          <w:rFonts w:ascii="Times New Roman" w:hAnsi="Times New Roman" w:eastAsia="Times New Roman" w:cs="Times New Roman"/>
          <w:color w:val="000000"/>
        </w:rPr>
        <w:t xml:space="preserve"> и </w:t>
      </w:r>
      <w:r>
        <w:rPr>
          <w:rFonts w:ascii="Times New Roman" w:hAnsi="Times New Roman" w:eastAsia="Times New Roman" w:cs="Times New Roman"/>
          <w:b/>
          <w:i/>
        </w:rPr>
        <w:t>ежемесячной страховой выплаты,</w:t>
      </w:r>
      <w:r>
        <w:rPr>
          <w:rFonts w:ascii="Times New Roman" w:hAnsi="Times New Roman" w:eastAsia="Times New Roman" w:cs="Times New Roman"/>
        </w:rPr>
        <w:t xml:space="preserve"> назначаются при условии установления застрахованному лицу учреждением медико-социальной экспертизы (МСЭ) степени утраты профессиональной трудоспособности в результате несчастного случая на производстве или профессионального заболевания.</w:t>
      </w:r>
    </w:p>
    <w:p w14:paraId="532616EA">
      <w:pPr>
        <w:pStyle w:val="21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</w:rPr>
        <w:t>Оплата дополнительных расходов</w:t>
      </w:r>
      <w:r>
        <w:rPr>
          <w:rFonts w:ascii="Times New Roman" w:hAnsi="Times New Roman" w:eastAsia="Times New Roman" w:cs="Times New Roman"/>
        </w:rPr>
        <w:t xml:space="preserve">, связанных с медицинской, социальной и профессиональной реабилитацией застрахованного лица. Оплате подлежат дополнительные расходы на реабилитационные мероприятия, предусмотренные программой реабилитации пострадавшего (ПРП), которая составляется учреждением МСЭ по результатам освидетельствования застрахованного лица, а также на медицинскую помощь застрахованному  лицу после тяжелого несчастного случая на производстве, </w:t>
      </w:r>
      <w:r>
        <w:rPr>
          <w:rFonts w:ascii="Times New Roman" w:hAnsi="Times New Roman" w:cs="Times New Roman"/>
        </w:rPr>
        <w:t xml:space="preserve">оплату отпуска застрахованного лица (сверх ежегодно оплачиваемого отпуска на весь период его санаторно-курортного лечения и проезда к месту санаторно-курортного лечения и обратно). </w:t>
      </w:r>
    </w:p>
    <w:p w14:paraId="0BBBAB2D">
      <w:pPr>
        <w:pStyle w:val="21"/>
        <w:spacing w:before="120" w:after="0" w:line="240" w:lineRule="auto"/>
        <w:ind w:left="709"/>
        <w:jc w:val="both"/>
        <w:rPr>
          <w:rFonts w:ascii="Times New Roman" w:hAnsi="Times New Roman" w:eastAsia="Times New Roman" w:cs="Times New Roman"/>
          <w:b/>
        </w:rPr>
      </w:pPr>
    </w:p>
    <w:p w14:paraId="722256E9">
      <w:pPr>
        <w:pStyle w:val="21"/>
        <w:spacing w:before="120" w:after="0" w:line="240" w:lineRule="auto"/>
        <w:ind w:left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val="en-US"/>
        </w:rPr>
        <w:t>II</w:t>
      </w:r>
      <w:r>
        <w:rPr>
          <w:rFonts w:ascii="Times New Roman" w:hAnsi="Times New Roman" w:eastAsia="Times New Roman" w:cs="Times New Roman"/>
          <w:b/>
        </w:rPr>
        <w:t xml:space="preserve">. </w:t>
      </w:r>
      <w:r>
        <w:rPr>
          <w:rFonts w:ascii="Times New Roman" w:hAnsi="Times New Roman" w:eastAsia="Times New Roman" w:cs="Times New Roman"/>
          <w:b/>
          <w:caps/>
        </w:rPr>
        <w:t>Страховые выплаты</w:t>
      </w:r>
    </w:p>
    <w:p w14:paraId="3A5915D8">
      <w:pPr>
        <w:pStyle w:val="21"/>
        <w:spacing w:before="120" w:after="0" w:line="240" w:lineRule="auto"/>
        <w:ind w:left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Единовременная страховая выплата</w:t>
      </w:r>
    </w:p>
    <w:p w14:paraId="65042DEB">
      <w:pPr>
        <w:pStyle w:val="21"/>
        <w:spacing w:before="120" w:after="0" w:line="240" w:lineRule="auto"/>
        <w:ind w:left="0"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color w:val="000000"/>
        </w:rPr>
        <w:t>Выплачивается застрахованному лицу не позднее одного календарного месяца со дня ее назначения. Ее р</w:t>
      </w:r>
      <w:r>
        <w:rPr>
          <w:rFonts w:ascii="Times New Roman" w:hAnsi="Times New Roman" w:eastAsia="Times New Roman" w:cs="Times New Roman"/>
        </w:rPr>
        <w:t>азмер определяется в соответствии со степенью утраты застрахованным лицом профессиональной трудоспособности исходя из максимального ее размера. Максимальный размер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b/>
          <w:i/>
        </w:rPr>
        <w:t>Максимальный размер единовременной страховой выплаты с 1 февраля 2024 г. составляет      141480,16 руб.</w:t>
      </w:r>
      <w:r>
        <w:rPr>
          <w:rFonts w:ascii="Times New Roman" w:hAnsi="Times New Roman" w:eastAsia="Times New Roman" w:cs="Times New Roman"/>
        </w:rPr>
        <w:t xml:space="preserve"> В местностях, где установлены районные коэффициенты, процентные надбавки к заработной плате, размер единовременной страховой выплаты определяется с учетом этих коэффициентов и надбавок.</w:t>
      </w:r>
    </w:p>
    <w:p w14:paraId="0162FAEA">
      <w:pPr>
        <w:pStyle w:val="27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Ежемесячная страховая выплата</w:t>
      </w:r>
    </w:p>
    <w:p w14:paraId="7E944CE6">
      <w:pPr>
        <w:pStyle w:val="2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Выплачивается застрахованному лицу за весь период утраты им профессиональной трудоспособности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с того дня, с которого учреждением МСЭ установлен факт утраты застрахованным лицом профессиональной трудоспособности, исключая период, за который было назначено пособие по временной нетрудоспособности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в связи с несчастным случаем на производстве или профессиональным заболеванием. Размер ежемесячной страховой выплаты определяется как доля среднего месячного заработка застрахованного лица, исчисленная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с учетом степени утраты профессиональной трудоспособности. По общему правилу средний месячный заработок застрахованного лица исчисляется путем деления общей суммы его заработка (с учетом премий, начисленных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в расчетном периоде) за 12 месяцев повлекшей повреждение здоровья работы, предшествовавших месяцу,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в котором с ним произошел несчастный случай на производстве, установлен диагноз профессионального заболевания или (по выбору застрахованного) установлена утрата (снижение) его профессиональной трудоспособности, на 12. </w:t>
      </w:r>
    </w:p>
    <w:p w14:paraId="0022A261">
      <w:pPr>
        <w:pStyle w:val="27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Размер назначенной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  <w:r>
        <w:rPr>
          <w:rFonts w:ascii="Times New Roman" w:hAnsi="Times New Roman" w:cs="Times New Roman"/>
          <w:b/>
          <w:i/>
        </w:rPr>
        <w:t>Максимальный размер ежемесячной страховой выплаты с 1 февраля 2024 г. составляет 108784,04 руб.</w:t>
      </w:r>
    </w:p>
    <w:p w14:paraId="49CF5B94">
      <w:pPr>
        <w:pStyle w:val="2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(отказ в назначении) единовременной и (или) ежемесячной страховой выплаты осуществляется не позднее 10 дней со дня поступления в территориальный орган СФР соответствующего заявления и всех иных необходимых для назначения обеспечения по страхованию документов.</w:t>
      </w:r>
    </w:p>
    <w:p w14:paraId="7F47A8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Необходимые документы:</w:t>
      </w:r>
    </w:p>
    <w:p w14:paraId="0F6B9925">
      <w:pPr>
        <w:pStyle w:val="27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-   заявление, </w:t>
      </w:r>
      <w:r>
        <w:rPr>
          <w:rFonts w:ascii="Times New Roman" w:hAnsi="Times New Roman" w:cs="Times New Roman"/>
        </w:rPr>
        <w:t xml:space="preserve">составленное по установленной форме; </w:t>
      </w:r>
    </w:p>
    <w:p w14:paraId="14AD1D7C">
      <w:pPr>
        <w:pStyle w:val="27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документы, удостоверяющие личность заявителя и его представителя (паспорт; иной документ, удостоверяющий личность гражданина в соответствии с законодательством Российской Федерации)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при обращении через личный кабинет на портале госуслуг не требуются</w:t>
      </w:r>
      <w:r>
        <w:rPr>
          <w:rFonts w:ascii="Times New Roman" w:hAnsi="Times New Roman" w:cs="Times New Roman"/>
        </w:rPr>
        <w:t>);</w:t>
      </w:r>
    </w:p>
    <w:p w14:paraId="683590B4">
      <w:pPr>
        <w:pStyle w:val="27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справка дипломатического представительства или консульского учреждения Российской Федерации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о постоянном месте жительства за границей (о нахождении в живых) - если заявитель проживает за пределами территории Российской Федерации;</w:t>
      </w:r>
    </w:p>
    <w:p w14:paraId="4E6AB0A9">
      <w:pPr>
        <w:pStyle w:val="27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документы, подтверждающие полномочия представителя заявителя – если заявление подается через представителя;</w:t>
      </w:r>
    </w:p>
    <w:p w14:paraId="39CF7AD4">
      <w:pPr>
        <w:pStyle w:val="27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 о несчастном случае на производстве или акт о случае профессионального заболевания, заключение государственного инспектора труда </w:t>
      </w:r>
      <w:r>
        <w:rPr>
          <w:rFonts w:ascii="Times New Roman" w:hAnsi="Times New Roman" w:cs="Times New Roman"/>
          <w:i/>
        </w:rPr>
        <w:t>(самостоятельное предоставление не требуется в случае наличия указанных документов у страховщика)</w:t>
      </w:r>
      <w:r>
        <w:rPr>
          <w:rFonts w:ascii="Times New Roman" w:hAnsi="Times New Roman" w:cs="Times New Roman"/>
        </w:rPr>
        <w:t>, а при их отсутствии -  судебное решение об установлении юридического факта несчастного случая на производстве (профессионального заболевания);</w:t>
      </w:r>
    </w:p>
    <w:p w14:paraId="76732D32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пострадавшего в трудовых отношениях со страхователем;</w:t>
      </w:r>
    </w:p>
    <w:p w14:paraId="1B358ECA">
      <w:pPr>
        <w:pStyle w:val="2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гражданско-правовой договор, предметом которого являются выполнение работ и (или) оказание услуг застрахованным лицом, договор авторского заказа, предусматривающие уплату страховых взносов страховщику;</w:t>
      </w:r>
    </w:p>
    <w:p w14:paraId="2EB6E30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заключение учреждения МСЭ о степени утраты профессиональной трудоспособности застрахованным </w:t>
      </w:r>
      <w:r>
        <w:rPr>
          <w:rFonts w:ascii="Times New Roman" w:hAnsi="Times New Roman" w:eastAsia="Times New Roman" w:cs="Times New Roman"/>
          <w:i/>
          <w:color w:val="000000"/>
        </w:rPr>
        <w:t>(самостоятельное предоставление не требуется)</w:t>
      </w:r>
      <w:r>
        <w:rPr>
          <w:rFonts w:ascii="Times New Roman" w:hAnsi="Times New Roman" w:eastAsia="Times New Roman" w:cs="Times New Roman"/>
          <w:color w:val="000000"/>
        </w:rPr>
        <w:t>;</w:t>
      </w:r>
    </w:p>
    <w:p w14:paraId="1734838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извещение медицинской организации об установлении заключительного диагноза острого </w:t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>или хронического профессионального заболевания (отравления) – для случаев профессиональных заболеваний (</w:t>
      </w:r>
      <w:r>
        <w:rPr>
          <w:rFonts w:ascii="Times New Roman" w:hAnsi="Times New Roman" w:eastAsia="Times New Roman" w:cs="Times New Roman"/>
          <w:i/>
          <w:color w:val="000000"/>
        </w:rPr>
        <w:t>самостоятельное предоставление не требуется)</w:t>
      </w:r>
      <w:r>
        <w:rPr>
          <w:rFonts w:ascii="Times New Roman" w:hAnsi="Times New Roman" w:eastAsia="Times New Roman" w:cs="Times New Roman"/>
          <w:color w:val="000000"/>
        </w:rPr>
        <w:t>;</w:t>
      </w:r>
    </w:p>
    <w:p w14:paraId="5EB97ACF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заключение центра профессиональной патологии о наличии профессионального заболевания - </w:t>
      </w:r>
      <w:r>
        <w:rPr>
          <w:rFonts w:ascii="Times New Roman" w:hAnsi="Times New Roman" w:eastAsia="Times New Roman" w:cs="Times New Roman"/>
          <w:color w:val="000000"/>
        </w:rPr>
        <w:br w:type="textWrapping"/>
      </w:r>
      <w:r>
        <w:rPr>
          <w:rFonts w:ascii="Times New Roman" w:hAnsi="Times New Roman" w:eastAsia="Times New Roman" w:cs="Times New Roman"/>
          <w:color w:val="000000"/>
        </w:rPr>
        <w:t>для случаев профессиональных заболеваний (</w:t>
      </w:r>
      <w:r>
        <w:rPr>
          <w:rFonts w:ascii="Times New Roman" w:hAnsi="Times New Roman" w:eastAsia="Times New Roman" w:cs="Times New Roman"/>
          <w:i/>
          <w:color w:val="000000"/>
        </w:rPr>
        <w:t>самостоятельное предоставление не требуется)</w:t>
      </w:r>
      <w:r>
        <w:rPr>
          <w:rFonts w:ascii="Times New Roman" w:hAnsi="Times New Roman" w:eastAsia="Times New Roman" w:cs="Times New Roman"/>
          <w:color w:val="000000"/>
        </w:rPr>
        <w:t>;</w:t>
      </w:r>
    </w:p>
    <w:p w14:paraId="1A080F59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справка (иной документ) о заработке застрахованного (иных выплатах и вознаграждениях) </w:t>
      </w:r>
      <w:r>
        <w:rPr>
          <w:rFonts w:ascii="Times New Roman" w:hAnsi="Times New Roman" w:eastAsia="Times New Roman" w:cs="Times New Roman"/>
          <w:i/>
          <w:color w:val="000000"/>
        </w:rPr>
        <w:t>(самостоятельное предоставление не требуется)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438A9F44">
      <w:pPr>
        <w:pStyle w:val="21"/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в  случае перемены фамилии, имени, отчества заявителя: свидетельство о такой перемене.</w:t>
      </w:r>
    </w:p>
    <w:p w14:paraId="08962FD9">
      <w:pPr>
        <w:pStyle w:val="21"/>
        <w:spacing w:before="120" w:after="0" w:line="240" w:lineRule="auto"/>
        <w:ind w:left="0"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Застрахованное лицо (его представитель) может самостоятельно предоставить в территориальный орган СФР имеющиеся у него документы, необходимые для назначения страховых выплат. </w:t>
      </w:r>
    </w:p>
    <w:p w14:paraId="46D407AE">
      <w:pPr>
        <w:pStyle w:val="27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Порядок предоставления государственной услуги и форма заявления установлены соответствующим административным регламентом страховщика, который размещен на сайте СФР: </w:t>
      </w:r>
      <w:r>
        <w:fldChar w:fldCharType="begin"/>
      </w:r>
      <w:r>
        <w:instrText xml:space="preserve"> HYPERLINK "https://sfr.gov.ru/order/law_accidents/orders/" </w:instrText>
      </w:r>
      <w:r>
        <w:fldChar w:fldCharType="separate"/>
      </w:r>
      <w:r>
        <w:rPr>
          <w:rStyle w:val="12"/>
          <w:rFonts w:ascii="Times New Roman" w:hAnsi="Times New Roman" w:cs="Times New Roman"/>
          <w:color w:val="auto"/>
          <w:u w:val="none"/>
        </w:rPr>
        <w:t>https://sfr.gov.ru/order/law_accidents/orders/</w:t>
      </w:r>
      <w:r>
        <w:rPr>
          <w:rStyle w:val="12"/>
          <w:rFonts w:ascii="Times New Roman" w:hAnsi="Times New Roman" w:cs="Times New Roman"/>
          <w:color w:val="auto"/>
          <w:u w:val="none"/>
        </w:rPr>
        <w:fldChar w:fldCharType="end"/>
      </w:r>
      <w:r>
        <w:rPr>
          <w:rFonts w:ascii="Times New Roman" w:hAnsi="Times New Roman" w:cs="Times New Roman"/>
          <w:color w:val="000000"/>
        </w:rPr>
        <w:t>.</w:t>
      </w:r>
    </w:p>
    <w:p w14:paraId="3B54D024">
      <w:pPr>
        <w:spacing w:before="12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aps/>
        </w:rPr>
      </w:pPr>
      <w:r>
        <w:rPr>
          <w:rFonts w:ascii="Times New Roman" w:hAnsi="Times New Roman" w:eastAsia="Times New Roman" w:cs="Times New Roman"/>
          <w:b/>
          <w:lang w:val="en-US"/>
        </w:rPr>
        <w:t>III</w:t>
      </w:r>
      <w:r>
        <w:rPr>
          <w:rFonts w:ascii="Times New Roman" w:hAnsi="Times New Roman" w:eastAsia="Times New Roman" w:cs="Times New Roman"/>
          <w:b/>
        </w:rPr>
        <w:t xml:space="preserve">. </w:t>
      </w:r>
      <w:r>
        <w:rPr>
          <w:rFonts w:ascii="Times New Roman" w:hAnsi="Times New Roman" w:eastAsia="Times New Roman" w:cs="Times New Roman"/>
          <w:b/>
          <w:caps/>
        </w:rPr>
        <w:t>Оплата дополнительных расходов</w:t>
      </w:r>
      <w:r>
        <w:rPr>
          <w:rFonts w:ascii="Times New Roman" w:hAnsi="Times New Roman" w:eastAsia="Times New Roman" w:cs="Times New Roman"/>
          <w:caps/>
        </w:rPr>
        <w:t xml:space="preserve">, </w:t>
      </w:r>
      <w:r>
        <w:rPr>
          <w:rFonts w:ascii="Times New Roman" w:hAnsi="Times New Roman" w:eastAsia="Times New Roman" w:cs="Times New Roman"/>
          <w:b/>
          <w:caps/>
        </w:rPr>
        <w:t>связанных с медицинской, социальной и профессиональной реабилитацией застрахованного лица</w:t>
      </w:r>
    </w:p>
    <w:p w14:paraId="751F62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На основании рекомендаций, предусмотренных в ПРП, могут быть оплачены расходы: на приобретение лекарственных препаратов для медицинского применения и медицинских изделий, на посторонний (специальный медицинский и бытовой) уход за застрахованным лицом, на санаторно-курортное лечение; отпуск застрахованного лица и проезд к месту лечения и обратно; на изготовление и ремонт протезов, протезно-ортопедических изделий, ортезов; на обеспечение техническими средствами реабилитации и их ремонт; 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</w:rPr>
        <w:t xml:space="preserve">на обеспечение транспортными средствами, их ремонт, на горюче-смазочные материалы; на профессиональное обучение (дополнительное профессиональное образование); на проезд застрахованного лица для получения отдельных видов медицинской и социальной реабилитации, и сопровождающего его лица в случае, 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</w:rPr>
        <w:t>если сопровождение обусловлено медицинскими показаниями, указанными в ПРП (туда и обратно).</w:t>
      </w:r>
    </w:p>
    <w:p w14:paraId="5F3CB406">
      <w:pPr>
        <w:pStyle w:val="27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Положение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утверждено постановлением Правительства Российской Федерации от 15.05.2006 № 286.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B8C33F1">
      <w:pPr>
        <w:pStyle w:val="27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Порядок предоставления государственной услуги установлен соответствующим административным регламентом страховщика, который размещен на сайте </w:t>
      </w:r>
      <w:r>
        <w:rPr>
          <w:rFonts w:ascii="Times New Roman" w:hAnsi="Times New Roman" w:cs="Times New Roman"/>
        </w:rPr>
        <w:t xml:space="preserve">СФР: </w:t>
      </w:r>
      <w:r>
        <w:fldChar w:fldCharType="begin"/>
      </w:r>
      <w:r>
        <w:instrText xml:space="preserve"> HYPERLINK "https://sfr.gov.ru/order/law_accidents/orders/" </w:instrText>
      </w:r>
      <w:r>
        <w:fldChar w:fldCharType="separate"/>
      </w:r>
      <w:r>
        <w:rPr>
          <w:rStyle w:val="12"/>
          <w:rFonts w:ascii="Times New Roman" w:hAnsi="Times New Roman" w:cs="Times New Roman"/>
          <w:color w:val="auto"/>
          <w:u w:val="none"/>
        </w:rPr>
        <w:t>https://sfr.gov.ru/order/law_accidents/orders/</w:t>
      </w:r>
      <w:r>
        <w:rPr>
          <w:rStyle w:val="12"/>
          <w:rFonts w:ascii="Times New Roman" w:hAnsi="Times New Roman" w:cs="Times New Roman"/>
          <w:color w:val="auto"/>
          <w:u w:val="none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7D23344D">
      <w:pPr>
        <w:pStyle w:val="21"/>
        <w:spacing w:before="120" w:after="0" w:line="240" w:lineRule="auto"/>
        <w:ind w:left="0" w:firstLine="720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val="en-US"/>
        </w:rPr>
        <w:t>IV</w:t>
      </w:r>
      <w:r>
        <w:rPr>
          <w:rFonts w:ascii="Times New Roman" w:hAnsi="Times New Roman" w:eastAsia="Times New Roman" w:cs="Times New Roman"/>
          <w:b/>
        </w:rPr>
        <w:t xml:space="preserve">. </w:t>
      </w:r>
      <w:r>
        <w:rPr>
          <w:rFonts w:ascii="Times New Roman" w:hAnsi="Times New Roman" w:eastAsia="Times New Roman" w:cs="Times New Roman"/>
          <w:b/>
          <w:caps/>
        </w:rPr>
        <w:t>Как и куда обращаться за назначением обеспечения по страхованию</w:t>
      </w:r>
    </w:p>
    <w:p w14:paraId="15BF5F69">
      <w:pPr>
        <w:pStyle w:val="27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и необходимые документы можно подать в любую клиентскую службу территориального органа СФР лично, направить по почте, а также подать в личном кабинете </w:t>
      </w:r>
      <w:r>
        <w:rPr>
          <w:rFonts w:ascii="Times New Roman" w:hAnsi="Times New Roman" w:cs="Times New Roman"/>
          <w:u w:val="single"/>
        </w:rPr>
        <w:t>на портале госуслуг gosuslugi.ru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(при наличии подтвержденной учетной записи) или в многофункциональном центре предоставления государственных и муниципальных услуг.</w:t>
      </w:r>
    </w:p>
    <w:p w14:paraId="7E908235">
      <w:pPr>
        <w:pStyle w:val="27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 предоставлении государственной услуги принимает территориальный орган СФР по месту регистрации страхователя (работодателя), а в случае ликвидации работодателя - по последнему месту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его регистрации.</w:t>
      </w:r>
    </w:p>
    <w:p w14:paraId="221317D2">
      <w:pPr>
        <w:pStyle w:val="27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Страховое обеспечение осуществляется следующими способами:</w:t>
      </w:r>
      <w:r>
        <w:rPr>
          <w:rFonts w:ascii="Times New Roman" w:hAnsi="Times New Roman" w:cs="Times New Roman"/>
          <w:color w:val="000000"/>
        </w:rPr>
        <w:t xml:space="preserve"> на банковский счет, по реквизитам карты «МИР», по почте (по домашнему адресу или в отделение почтовой связи).</w:t>
      </w:r>
    </w:p>
    <w:p w14:paraId="7B544F6D">
      <w:pPr>
        <w:pStyle w:val="27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 — на официальном сайте СФР в сети Интернет</w:t>
      </w:r>
      <w:r>
        <w:rPr>
          <w:rFonts w:ascii="Times New Roman" w:hAnsi="Times New Roman" w:cs="Times New Roman"/>
          <w:b/>
        </w:rPr>
        <w:t xml:space="preserve">  sfr.gov.ru</w:t>
      </w:r>
      <w:r>
        <w:rPr>
          <w:rFonts w:ascii="Times New Roman" w:hAnsi="Times New Roman" w:cs="Times New Roman"/>
        </w:rPr>
        <w:t xml:space="preserve"> </w:t>
      </w:r>
    </w:p>
    <w:p w14:paraId="367A61BB">
      <w:pPr>
        <w:pStyle w:val="27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Единый контакт-центр по социальным вопросам </w:t>
      </w:r>
      <w:r>
        <w:rPr>
          <w:rFonts w:ascii="Times New Roman" w:hAnsi="Times New Roman" w:cs="Times New Roman"/>
          <w:b/>
        </w:rPr>
        <w:t xml:space="preserve">8-800-10-000-01 </w:t>
      </w:r>
      <w:r>
        <w:rPr>
          <w:rFonts w:ascii="Times New Roman" w:hAnsi="Times New Roman" w:cs="Times New Roman"/>
        </w:rPr>
        <w:t>(звонок по России бесплатный)</w:t>
      </w:r>
    </w:p>
    <w:sectPr>
      <w:headerReference r:id="rId6" w:type="first"/>
      <w:headerReference r:id="rId5" w:type="even"/>
      <w:pgSz w:w="11906" w:h="16838"/>
      <w:pgMar w:top="284" w:right="424" w:bottom="284" w:left="709" w:header="709" w:footer="709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9503297"/>
      <w:docPartObj>
        <w:docPartGallery w:val="AutoText"/>
      </w:docPartObj>
    </w:sdtPr>
    <w:sdtEndPr>
      <w:rPr>
        <w:sz w:val="20"/>
        <w:szCs w:val="20"/>
      </w:rPr>
    </w:sdtEndPr>
    <w:sdtContent>
      <w:p w14:paraId="4EF446CD">
        <w:pPr>
          <w:pStyle w:val="1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52776A5D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591546"/>
      <w:docPartObj>
        <w:docPartGallery w:val="AutoText"/>
      </w:docPartObj>
    </w:sdtPr>
    <w:sdtContent>
      <w:p w14:paraId="7221B765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9E76158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B45EC"/>
    <w:multiLevelType w:val="multilevel"/>
    <w:tmpl w:val="0EBB45EC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92B1F"/>
    <w:multiLevelType w:val="multilevel"/>
    <w:tmpl w:val="51392B1F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3B19AA"/>
    <w:rsid w:val="00030705"/>
    <w:rsid w:val="000A34E5"/>
    <w:rsid w:val="000C00BB"/>
    <w:rsid w:val="000E752B"/>
    <w:rsid w:val="000F1142"/>
    <w:rsid w:val="000F7074"/>
    <w:rsid w:val="00122098"/>
    <w:rsid w:val="00147AF2"/>
    <w:rsid w:val="001507C5"/>
    <w:rsid w:val="00156A82"/>
    <w:rsid w:val="00184A64"/>
    <w:rsid w:val="001C3919"/>
    <w:rsid w:val="002113D6"/>
    <w:rsid w:val="00217131"/>
    <w:rsid w:val="00240D8A"/>
    <w:rsid w:val="00257C59"/>
    <w:rsid w:val="00272EA6"/>
    <w:rsid w:val="00297C3D"/>
    <w:rsid w:val="002A0BA5"/>
    <w:rsid w:val="002C0041"/>
    <w:rsid w:val="00304335"/>
    <w:rsid w:val="0035401A"/>
    <w:rsid w:val="00397803"/>
    <w:rsid w:val="003A11EC"/>
    <w:rsid w:val="003B19AA"/>
    <w:rsid w:val="003B6A8F"/>
    <w:rsid w:val="003D6EBD"/>
    <w:rsid w:val="003E3374"/>
    <w:rsid w:val="003E56F2"/>
    <w:rsid w:val="00433F97"/>
    <w:rsid w:val="0047143F"/>
    <w:rsid w:val="00493CA5"/>
    <w:rsid w:val="004B7B1F"/>
    <w:rsid w:val="004D2B11"/>
    <w:rsid w:val="004E1509"/>
    <w:rsid w:val="00524490"/>
    <w:rsid w:val="00526BA6"/>
    <w:rsid w:val="00562393"/>
    <w:rsid w:val="005904C5"/>
    <w:rsid w:val="0059137D"/>
    <w:rsid w:val="005C3A42"/>
    <w:rsid w:val="005C6D4D"/>
    <w:rsid w:val="005D79D5"/>
    <w:rsid w:val="005E3F87"/>
    <w:rsid w:val="005E560E"/>
    <w:rsid w:val="005F59C1"/>
    <w:rsid w:val="006043FE"/>
    <w:rsid w:val="00630220"/>
    <w:rsid w:val="00633E3D"/>
    <w:rsid w:val="00636C5E"/>
    <w:rsid w:val="00663374"/>
    <w:rsid w:val="00666710"/>
    <w:rsid w:val="00666A24"/>
    <w:rsid w:val="00677A22"/>
    <w:rsid w:val="00686850"/>
    <w:rsid w:val="006A4F0D"/>
    <w:rsid w:val="006C47C5"/>
    <w:rsid w:val="006D3EC9"/>
    <w:rsid w:val="006E5C57"/>
    <w:rsid w:val="006F1CAF"/>
    <w:rsid w:val="006F2BE0"/>
    <w:rsid w:val="006F54B0"/>
    <w:rsid w:val="00713698"/>
    <w:rsid w:val="007628CA"/>
    <w:rsid w:val="0077108E"/>
    <w:rsid w:val="007778FC"/>
    <w:rsid w:val="00793B2B"/>
    <w:rsid w:val="0079675F"/>
    <w:rsid w:val="007A1010"/>
    <w:rsid w:val="007C7746"/>
    <w:rsid w:val="007D0FD8"/>
    <w:rsid w:val="007D601F"/>
    <w:rsid w:val="00816635"/>
    <w:rsid w:val="00820AD4"/>
    <w:rsid w:val="00854FA2"/>
    <w:rsid w:val="00916B7B"/>
    <w:rsid w:val="00926F4B"/>
    <w:rsid w:val="00927D6E"/>
    <w:rsid w:val="009516A4"/>
    <w:rsid w:val="00952A4E"/>
    <w:rsid w:val="00991D84"/>
    <w:rsid w:val="009B5FB6"/>
    <w:rsid w:val="009C1B7B"/>
    <w:rsid w:val="009E75CF"/>
    <w:rsid w:val="00A74E45"/>
    <w:rsid w:val="00AB1F5A"/>
    <w:rsid w:val="00AB4712"/>
    <w:rsid w:val="00AD579F"/>
    <w:rsid w:val="00AE0601"/>
    <w:rsid w:val="00AF5959"/>
    <w:rsid w:val="00B86D99"/>
    <w:rsid w:val="00B87F52"/>
    <w:rsid w:val="00B93E90"/>
    <w:rsid w:val="00B96FF3"/>
    <w:rsid w:val="00BB671B"/>
    <w:rsid w:val="00BC740A"/>
    <w:rsid w:val="00BD76FF"/>
    <w:rsid w:val="00C07BAC"/>
    <w:rsid w:val="00C127F6"/>
    <w:rsid w:val="00C16509"/>
    <w:rsid w:val="00C41D67"/>
    <w:rsid w:val="00C4369A"/>
    <w:rsid w:val="00C5023A"/>
    <w:rsid w:val="00C75DA5"/>
    <w:rsid w:val="00C87E6F"/>
    <w:rsid w:val="00C920E1"/>
    <w:rsid w:val="00C955AC"/>
    <w:rsid w:val="00CA00CC"/>
    <w:rsid w:val="00CA35F3"/>
    <w:rsid w:val="00CB53F5"/>
    <w:rsid w:val="00D2128D"/>
    <w:rsid w:val="00D44578"/>
    <w:rsid w:val="00D47209"/>
    <w:rsid w:val="00D47857"/>
    <w:rsid w:val="00D7085D"/>
    <w:rsid w:val="00D76612"/>
    <w:rsid w:val="00D83E03"/>
    <w:rsid w:val="00D927F2"/>
    <w:rsid w:val="00DA6789"/>
    <w:rsid w:val="00DF2D36"/>
    <w:rsid w:val="00E13DFF"/>
    <w:rsid w:val="00E20BAB"/>
    <w:rsid w:val="00E52C4A"/>
    <w:rsid w:val="00E82F5D"/>
    <w:rsid w:val="00ED77B7"/>
    <w:rsid w:val="00EE47D2"/>
    <w:rsid w:val="00EF0348"/>
    <w:rsid w:val="00EF665B"/>
    <w:rsid w:val="00F04434"/>
    <w:rsid w:val="00F17440"/>
    <w:rsid w:val="00F671CF"/>
    <w:rsid w:val="00FA24F6"/>
    <w:rsid w:val="00FA4873"/>
    <w:rsid w:val="00FB13FE"/>
    <w:rsid w:val="00FC78E0"/>
    <w:rsid w:val="00FE7AAF"/>
    <w:rsid w:val="166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footnote text"/>
    <w:basedOn w:val="1"/>
    <w:link w:val="2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character" w:customStyle="1" w:styleId="22">
    <w:name w:val="Текст выноски Знак"/>
    <w:basedOn w:val="8"/>
    <w:link w:val="13"/>
    <w:semiHidden/>
    <w:uiPriority w:val="99"/>
    <w:rPr>
      <w:rFonts w:ascii="Tahoma" w:hAnsi="Tahoma" w:cs="Tahoma"/>
      <w:sz w:val="16"/>
      <w:szCs w:val="16"/>
    </w:rPr>
  </w:style>
  <w:style w:type="paragraph" w:customStyle="1" w:styleId="23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4">
    <w:name w:val="Текст сноски Знак"/>
    <w:basedOn w:val="8"/>
    <w:link w:val="14"/>
    <w:semiHidden/>
    <w:qFormat/>
    <w:uiPriority w:val="99"/>
    <w:rPr>
      <w:sz w:val="20"/>
      <w:szCs w:val="20"/>
    </w:rPr>
  </w:style>
  <w:style w:type="character" w:customStyle="1" w:styleId="25">
    <w:name w:val="Верхний колонтитул Знак"/>
    <w:basedOn w:val="8"/>
    <w:link w:val="15"/>
    <w:qFormat/>
    <w:uiPriority w:val="99"/>
  </w:style>
  <w:style w:type="character" w:customStyle="1" w:styleId="26">
    <w:name w:val="Нижний колонтитул Знак"/>
    <w:basedOn w:val="8"/>
    <w:link w:val="17"/>
    <w:uiPriority w:val="99"/>
  </w:style>
  <w:style w:type="paragraph" w:styleId="27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Props1.xml><?xml version="1.0" encoding="utf-8"?>
<ds:datastoreItem xmlns:ds="http://schemas.openxmlformats.org/officeDocument/2006/customXml" ds:itemID="{B03ECD0C-2B43-4880-940A-0CCBF3DB235D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Пенсионнй фонд Российской Федерации</Company>
  <Pages>2</Pages>
  <Words>1451</Words>
  <Characters>8274</Characters>
  <Lines>68</Lines>
  <Paragraphs>19</Paragraphs>
  <TotalTime>1</TotalTime>
  <ScaleCrop>false</ScaleCrop>
  <LinksUpToDate>false</LinksUpToDate>
  <CharactersWithSpaces>9706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2024-07-26T08:40:00Z</dcterms:created>
  <dc:creator>Бочко Оксана Вадимовна</dc:creator>
  <cp:lastModifiedBy>1644853</cp:lastModifiedBy>
  <cp:lastPrinted>2024-02-28T13:16:00Z</cp:lastPrinted>
  <dcterms:modified xsi:type="dcterms:W3CDTF">2025-01-19T16:19:10Z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D5C4F3B643444E019BA5577E68F642FA_13</vt:lpwstr>
  </property>
</Properties>
</file>